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087F0">
      <w:pPr>
        <w:pStyle w:val="7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eastAsia="宋体"/>
          <w:b/>
          <w:sz w:val="24"/>
          <w:szCs w:val="24"/>
          <w:highlight w:val="none"/>
          <w:lang w:val="en-US" w:eastAsia="zh-CN"/>
        </w:rPr>
      </w:pPr>
      <w:bookmarkStart w:id="0" w:name="OLE_LINK11"/>
      <w:bookmarkStart w:id="1" w:name="OLE_LINK12"/>
      <w:r>
        <w:rPr>
          <w:b/>
          <w:sz w:val="24"/>
          <w:szCs w:val="24"/>
          <w:highlight w:val="none"/>
        </w:rPr>
        <w:t xml:space="preserve">3GPP TSG-RAN WG4 Meeting </w:t>
      </w:r>
      <w:r>
        <w:rPr>
          <w:rFonts w:hint="eastAsia"/>
          <w:b/>
          <w:sz w:val="24"/>
          <w:szCs w:val="24"/>
          <w:highlight w:val="none"/>
        </w:rPr>
        <w:t>#</w:t>
      </w:r>
      <w:r>
        <w:rPr>
          <w:b/>
          <w:sz w:val="24"/>
          <w:szCs w:val="24"/>
          <w:highlight w:val="none"/>
        </w:rPr>
        <w:t>1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16bis</w:t>
      </w:r>
      <w:r>
        <w:rPr>
          <w:rFonts w:hint="eastAsia"/>
          <w:b/>
          <w:sz w:val="24"/>
          <w:szCs w:val="24"/>
          <w:highlight w:val="none"/>
        </w:rPr>
        <w:t xml:space="preserve">                           </w:t>
      </w:r>
      <w:r>
        <w:rPr>
          <w:b/>
          <w:sz w:val="24"/>
          <w:szCs w:val="24"/>
          <w:highlight w:val="none"/>
        </w:rPr>
        <w:t xml:space="preserve">  R4-2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513669</w:t>
      </w:r>
      <w:bookmarkStart w:id="8" w:name="_GoBack"/>
      <w:bookmarkEnd w:id="8"/>
      <w:r>
        <w:rPr>
          <w:b/>
          <w:sz w:val="24"/>
          <w:szCs w:val="24"/>
          <w:highlight w:val="none"/>
        </w:rPr>
        <w:t xml:space="preserve">                          </w:t>
      </w:r>
    </w:p>
    <w:bookmarkEnd w:id="0"/>
    <w:bookmarkEnd w:id="1"/>
    <w:p w14:paraId="5C25862B">
      <w:pPr>
        <w:pStyle w:val="7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  <w:lang w:eastAsia="zh-CN"/>
        </w:rPr>
        <w:t>Prague, Czech Republic, Oct. 13-17,</w:t>
      </w:r>
      <w:r>
        <w:rPr>
          <w:rFonts w:hint="default" w:ascii="Times New Roman" w:hAnsi="Times New Roman" w:cs="Times New Roman"/>
          <w:b/>
          <w:bCs/>
          <w:sz w:val="24"/>
          <w:highlight w:val="none"/>
        </w:rPr>
        <w:t xml:space="preserve"> 2025</w:t>
      </w:r>
    </w:p>
    <w:p w14:paraId="19C21F07">
      <w:pPr>
        <w:tabs>
          <w:tab w:val="left" w:pos="1985"/>
        </w:tabs>
        <w:rPr>
          <w:rFonts w:ascii="Times New Roman" w:hAnsi="Times New Roman"/>
          <w:b/>
          <w:sz w:val="22"/>
          <w:highlight w:val="none"/>
        </w:rPr>
      </w:pPr>
    </w:p>
    <w:p w14:paraId="0F6ADD6A">
      <w:pPr>
        <w:tabs>
          <w:tab w:val="left" w:pos="1765"/>
        </w:tabs>
        <w:rPr>
          <w:rFonts w:hint="default" w:ascii="Times New Roman" w:hAnsi="Times New Roman" w:eastAsia="宋体"/>
          <w:b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>Agenda Item: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7</w:t>
      </w:r>
      <w:r>
        <w:rPr>
          <w:rFonts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4</w:t>
      </w:r>
      <w:r>
        <w:rPr>
          <w:rFonts w:hint="eastAsia"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3.2</w:t>
      </w:r>
    </w:p>
    <w:p w14:paraId="56D784BA">
      <w:pPr>
        <w:tabs>
          <w:tab w:val="left" w:pos="1765"/>
        </w:tabs>
        <w:rPr>
          <w:rFonts w:ascii="Times New Roman" w:hAnsi="Times New Roman"/>
          <w:sz w:val="22"/>
          <w:highlight w:val="none"/>
        </w:rPr>
      </w:pPr>
      <w:r>
        <w:rPr>
          <w:rFonts w:ascii="Times New Roman" w:hAnsi="Times New Roman"/>
          <w:b/>
          <w:sz w:val="22"/>
          <w:highlight w:val="none"/>
        </w:rPr>
        <w:t xml:space="preserve">Source: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sz w:val="22"/>
          <w:highlight w:val="none"/>
        </w:rPr>
        <w:t>CMCC</w:t>
      </w:r>
    </w:p>
    <w:p w14:paraId="627E5AAC">
      <w:pPr>
        <w:rPr>
          <w:rFonts w:hint="default" w:ascii="Times New Roman" w:hAnsi="Times New Roman" w:eastAsia="宋体"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 xml:space="preserve">Title: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bookmarkStart w:id="2" w:name="OLE_LINK23"/>
      <w:bookmarkStart w:id="3" w:name="OLE_LINK24"/>
      <w:bookmarkStart w:id="4" w:name="OLE_LINK8"/>
      <w:bookmarkStart w:id="5" w:name="OLE_LINK7"/>
      <w:r>
        <w:rPr>
          <w:rFonts w:hint="eastAsia" w:ascii="Times New Roman" w:hAnsi="Times New Roman"/>
          <w:b/>
          <w:sz w:val="22"/>
          <w:highlight w:val="none"/>
          <w:lang w:val="en-US" w:eastAsia="zh-CN"/>
        </w:rPr>
        <w:t xml:space="preserve"> </w:t>
      </w:r>
      <w:r>
        <w:rPr>
          <w:rFonts w:ascii="Times New Roman" w:hAnsi="Times New Roman"/>
          <w:sz w:val="22"/>
          <w:highlight w:val="none"/>
        </w:rPr>
        <w:t>D</w:t>
      </w:r>
      <w:r>
        <w:rPr>
          <w:rFonts w:hint="eastAsia" w:ascii="Times New Roman" w:hAnsi="Times New Roman"/>
          <w:sz w:val="22"/>
          <w:highlight w:val="none"/>
        </w:rPr>
        <w:t xml:space="preserve">iscussion on </w:t>
      </w:r>
      <w:bookmarkEnd w:id="2"/>
      <w:bookmarkEnd w:id="3"/>
      <w:r>
        <w:rPr>
          <w:rFonts w:hint="eastAsia" w:ascii="Times New Roman" w:hAnsi="Times New Roman"/>
          <w:sz w:val="22"/>
          <w:highlight w:val="none"/>
          <w:lang w:val="en-US" w:eastAsia="zh-CN"/>
        </w:rPr>
        <w:t>RRM core requirements for NR Radio Resource Management (RRM) Phase 6</w:t>
      </w:r>
    </w:p>
    <w:bookmarkEnd w:id="4"/>
    <w:bookmarkEnd w:id="5"/>
    <w:p w14:paraId="14EC595A">
      <w:pPr>
        <w:tabs>
          <w:tab w:val="left" w:pos="1765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Document for: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Discussion</w:t>
      </w:r>
      <w:r>
        <w:rPr>
          <w:rFonts w:hint="eastAsia" w:ascii="Times New Roman" w:hAnsi="Times New Roman"/>
          <w:sz w:val="22"/>
        </w:rPr>
        <w:t xml:space="preserve"> </w:t>
      </w:r>
    </w:p>
    <w:p w14:paraId="26D35311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4FEF97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In RAN #109 meeting, the new WID on NR Radio Resource Management (RRM) Phase 6 [1] was approved. According to the WID, one of the objectives is enhancement for (</w:t>
      </w:r>
      <w:r>
        <w:rPr>
          <w:rFonts w:hint="default" w:ascii="Times New Roman" w:hAnsi="Times New Roman" w:cs="Times New Roman"/>
          <w:sz w:val="20"/>
          <w:szCs w:val="20"/>
        </w:rPr>
        <w:t>e)RedCap UEs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, the details are duplicated as following.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48832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331" w:type="dxa"/>
            <w:noWrap w:val="0"/>
            <w:vAlign w:val="top"/>
          </w:tcPr>
          <w:p w14:paraId="2119C6AE">
            <w:pPr>
              <w:pStyle w:val="12"/>
              <w:numPr>
                <w:ilvl w:val="0"/>
                <w:numId w:val="0"/>
              </w:numPr>
              <w:spacing w:after="120"/>
              <w:ind w:leftChars="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Specify the following requirements for (e)RedCap UEs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[RAN4]</w:t>
            </w:r>
          </w:p>
          <w:p w14:paraId="0D9A1341">
            <w:pPr>
              <w:numPr>
                <w:ilvl w:val="1"/>
                <w:numId w:val="4"/>
              </w:numPr>
              <w:spacing w:after="120"/>
              <w:ind w:left="420" w:leftChars="0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Relaxed RLM/BFD RRM requirements</w:t>
            </w:r>
          </w:p>
          <w:p w14:paraId="5F3DC67E">
            <w:pPr>
              <w:numPr>
                <w:ilvl w:val="2"/>
                <w:numId w:val="4"/>
              </w:numPr>
              <w:spacing w:after="120"/>
              <w:ind w:left="840" w:leftChars="0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Use R17 RLM/BFD relaxation for legacy UE as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a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 xml:space="preserve"> baseline</w:t>
            </w:r>
          </w:p>
          <w:p w14:paraId="1FA4BA0F">
            <w:pPr>
              <w:numPr>
                <w:ilvl w:val="1"/>
                <w:numId w:val="4"/>
              </w:numPr>
              <w:ind w:left="420" w:leftChars="0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Support of less than 5 MHz channel bandwidth (15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PRB transmission bandwidth configuration and 12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PRB SSB)</w:t>
            </w:r>
          </w:p>
          <w:p w14:paraId="615DD52A">
            <w:pPr>
              <w:numPr>
                <w:ilvl w:val="2"/>
                <w:numId w:val="4"/>
              </w:numPr>
              <w:spacing w:after="120"/>
              <w:ind w:left="840" w:leftChars="0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RF requirements, considering example bands: n100, n106, n26, n28 and n85</w:t>
            </w:r>
          </w:p>
          <w:p w14:paraId="40230C91">
            <w:pPr>
              <w:numPr>
                <w:ilvl w:val="2"/>
                <w:numId w:val="4"/>
              </w:numPr>
              <w:ind w:left="840" w:leftChars="0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 xml:space="preserve">RRM requirements including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elaxed RLM/BFD RRM requirements</w:t>
            </w:r>
          </w:p>
          <w:p w14:paraId="35253164">
            <w:pPr>
              <w:pStyle w:val="12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before="60" w:after="60"/>
              <w:ind w:left="840" w:left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Note 1: Use R18 3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 xml:space="preserve">MHz requirements for non-RedCap UE as a baseline </w:t>
            </w:r>
          </w:p>
          <w:p w14:paraId="25809617">
            <w:pPr>
              <w:numPr>
                <w:ilvl w:val="1"/>
                <w:numId w:val="4"/>
              </w:numPr>
              <w:spacing w:after="120"/>
              <w:ind w:left="420" w:leftChars="0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Note 2: Consider both 1Rx and 2Rx (e)Red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C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ap UEs and HD-FDD</w:t>
            </w:r>
          </w:p>
        </w:tc>
      </w:tr>
    </w:tbl>
    <w:p w14:paraId="010233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/>
          <w:sz w:val="20"/>
          <w:szCs w:val="20"/>
          <w:lang w:val="en-US" w:eastAsia="zh-CN"/>
        </w:rPr>
      </w:pPr>
    </w:p>
    <w:p w14:paraId="5DFDD5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There contribution provides discussion on relaxed 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>RLM/BFD RRM requirements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for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(</w:t>
      </w:r>
      <w:r>
        <w:rPr>
          <w:rFonts w:hint="default" w:ascii="Times New Roman" w:hAnsi="Times New Roman" w:cs="Times New Roman"/>
          <w:sz w:val="20"/>
          <w:szCs w:val="20"/>
        </w:rPr>
        <w:t>e)RedCap UEs</w:t>
      </w:r>
      <w:r>
        <w:rPr>
          <w:rFonts w:hint="eastAsia" w:ascii="Times New Roman" w:hAnsi="Times New Roman"/>
          <w:bCs/>
          <w:iCs/>
          <w:sz w:val="20"/>
          <w:szCs w:val="20"/>
        </w:rPr>
        <w:t>.</w:t>
      </w:r>
    </w:p>
    <w:p w14:paraId="33D32EDB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hint="eastAsia" w:ascii="Times New Roman" w:hAnsi="Times New Roman"/>
          <w:b w:val="0"/>
          <w:bCs w:val="0"/>
          <w:kern w:val="0"/>
          <w:sz w:val="36"/>
          <w:szCs w:val="36"/>
          <w:lang w:eastAsia="zh-CN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 xml:space="preserve">Discussion </w:t>
      </w:r>
      <w:bookmarkStart w:id="6" w:name="OLE_LINK2"/>
      <w:bookmarkStart w:id="7" w:name="OLE_LINK1"/>
      <w:r>
        <w:rPr>
          <w:rFonts w:ascii="Times New Roman" w:hAnsi="Times New Roman"/>
          <w:i/>
          <w:sz w:val="20"/>
          <w:szCs w:val="20"/>
        </w:rPr>
        <w:t xml:space="preserve"> </w:t>
      </w:r>
    </w:p>
    <w:p w14:paraId="2E77913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RLM/BFD relaxation for legacy UE are defined in Rel-17. The relaxed requirements are defined for both SSB based radio link monitoring and CSI-RS based radio link monitoring. The relaxed requirements are applied for the UE supporting </w:t>
      </w:r>
      <w:r>
        <w:rPr>
          <w:rFonts w:hint="default" w:ascii="Times New Roman" w:hAnsi="Times New Roman" w:cs="Times New Roman"/>
          <w:i/>
          <w:iCs/>
          <w:sz w:val="20"/>
          <w:szCs w:val="20"/>
          <w:lang w:val="en-US" w:eastAsia="zh-CN"/>
        </w:rPr>
        <w:t>rlm-Relaxation-r17</w:t>
      </w:r>
      <w:r>
        <w:rPr>
          <w:rFonts w:hint="eastAsia" w:ascii="Times New Roman" w:hAnsi="Times New Roman" w:cs="Times New Roman"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and configured with explicit signalling </w:t>
      </w:r>
      <w:r>
        <w:rPr>
          <w:rFonts w:hint="default" w:ascii="Times New Roman" w:hAnsi="Times New Roman" w:cs="Times New Roman"/>
          <w:i/>
          <w:iCs/>
          <w:sz w:val="20"/>
          <w:szCs w:val="20"/>
          <w:lang w:val="en-US" w:eastAsia="zh-CN"/>
        </w:rPr>
        <w:t>goodServingCellEvaluationRLM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. In detail, there are two cases: when </w:t>
      </w:r>
      <w:r>
        <w:rPr>
          <w:rFonts w:hint="default" w:ascii="Times New Roman" w:hAnsi="Times New Roman" w:cs="Times New Roman"/>
          <w:sz w:val="20"/>
          <w:szCs w:val="20"/>
        </w:rPr>
        <w:t>the good serving cell quality criterion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is fulfilled for the serving cell if the </w:t>
      </w:r>
      <w:r>
        <w:rPr>
          <w:rFonts w:hint="default" w:ascii="Times New Roman" w:hAnsi="Times New Roman" w:cs="Times New Roman"/>
          <w:i/>
          <w:iCs/>
          <w:sz w:val="20"/>
          <w:szCs w:val="20"/>
          <w:lang w:val="en-US" w:eastAsia="zh-CN"/>
        </w:rPr>
        <w:t>lowMobilityEvaluationConnected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is not configured, or </w:t>
      </w:r>
      <w:r>
        <w:rPr>
          <w:rFonts w:hint="default" w:ascii="Times New Roman" w:hAnsi="Times New Roman" w:cs="Times New Roman"/>
          <w:sz w:val="20"/>
          <w:szCs w:val="20"/>
        </w:rPr>
        <w:t xml:space="preserve">the UE is also configured with </w:t>
      </w:r>
      <w:r>
        <w:rPr>
          <w:rFonts w:hint="default" w:ascii="Times New Roman" w:hAnsi="Times New Roman" w:cs="Times New Roman"/>
          <w:i/>
          <w:sz w:val="20"/>
          <w:szCs w:val="20"/>
        </w:rPr>
        <w:t>lowMobilityEvaluationConnected</w:t>
      </w:r>
      <w:r>
        <w:rPr>
          <w:rFonts w:hint="default" w:ascii="Times New Roman" w:hAnsi="Times New Roman" w:cs="Times New Roman"/>
          <w:sz w:val="20"/>
          <w:szCs w:val="20"/>
        </w:rPr>
        <w:t xml:space="preserve"> and both low mobility criterion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  <w:lang w:eastAsia="zh-TW"/>
        </w:rPr>
        <w:t xml:space="preserve">is fulfilled </w:t>
      </w:r>
      <w:r>
        <w:rPr>
          <w:rFonts w:hint="default" w:ascii="Times New Roman" w:hAnsi="Times New Roman" w:cs="Times New Roman"/>
          <w:sz w:val="20"/>
          <w:szCs w:val="20"/>
        </w:rPr>
        <w:t>for a period of T</w:t>
      </w:r>
      <w:r>
        <w:rPr>
          <w:rFonts w:hint="default" w:ascii="Times New Roman" w:hAnsi="Times New Roman" w:cs="Times New Roman"/>
          <w:sz w:val="20"/>
          <w:szCs w:val="20"/>
          <w:vertAlign w:val="subscript"/>
        </w:rPr>
        <w:t>SearchDeltaP</w:t>
      </w:r>
      <w:r>
        <w:rPr>
          <w:rFonts w:hint="default" w:ascii="Times New Roman" w:hAnsi="Times New Roman" w:eastAsia="等线" w:cs="Times New Roman"/>
          <w:sz w:val="20"/>
          <w:szCs w:val="20"/>
          <w:vertAlign w:val="subscript"/>
          <w:lang w:eastAsia="zh-CN"/>
        </w:rPr>
        <w:t>-Connected</w:t>
      </w:r>
      <w:r>
        <w:rPr>
          <w:rFonts w:hint="default" w:ascii="Times New Roman" w:hAnsi="Times New Roman" w:cs="Times New Roman"/>
          <w:sz w:val="20"/>
          <w:szCs w:val="20"/>
        </w:rPr>
        <w:t xml:space="preserve"> and good serving cell quality criterion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</w:rPr>
        <w:t>is fulfilled for the serving cell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.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Taking SSB based RLM as an example, the relaxed requirements are duplicated as below. Scaling factor K1 and K3 are introduced the relax the delay.</w:t>
      </w:r>
    </w:p>
    <w:p w14:paraId="5287393D">
      <w:pPr>
        <w:pStyle w:val="14"/>
      </w:pPr>
      <w:r>
        <w:t>Table 8.1.2.4-1: Evaluation period T</w:t>
      </w:r>
      <w:r>
        <w:rPr>
          <w:vertAlign w:val="subscript"/>
        </w:rPr>
        <w:t>Evaluate_out_SSB_Relax</w:t>
      </w:r>
      <w:r>
        <w:t xml:space="preserve"> for FR1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60"/>
        <w:gridCol w:w="3260"/>
      </w:tblGrid>
      <w:tr w14:paraId="3D1B2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760" w:type="dxa"/>
            <w:shd w:val="clear" w:color="auto" w:fill="auto"/>
          </w:tcPr>
          <w:p w14:paraId="28ABC908">
            <w:pPr>
              <w:pStyle w:val="15"/>
            </w:pPr>
            <w: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614C09A7">
            <w:pPr>
              <w:pStyle w:val="15"/>
            </w:pPr>
            <w:r>
              <w:t>T</w:t>
            </w:r>
            <w:r>
              <w:rPr>
                <w:vertAlign w:val="subscript"/>
              </w:rPr>
              <w:t>Evaluate_out_SSB_Relax</w:t>
            </w:r>
            <w:r>
              <w:t xml:space="preserve"> (ms) </w:t>
            </w:r>
          </w:p>
        </w:tc>
      </w:tr>
      <w:tr w14:paraId="5E17C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0" w:type="dxa"/>
            <w:shd w:val="clear" w:color="auto" w:fill="auto"/>
          </w:tcPr>
          <w:p w14:paraId="5674D2A5">
            <w:pPr>
              <w:pStyle w:val="16"/>
            </w:pPr>
            <w:r>
              <w:t>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 xml:space="preserve">) </w:t>
            </w:r>
            <w:r>
              <w:rPr>
                <w:rFonts w:hint="eastAsia"/>
              </w:rPr>
              <w:t>≤</w:t>
            </w:r>
            <w:r>
              <w:t>80 ms</w:t>
            </w:r>
          </w:p>
        </w:tc>
        <w:tc>
          <w:tcPr>
            <w:tcW w:w="3260" w:type="dxa"/>
            <w:shd w:val="clear" w:color="auto" w:fill="auto"/>
          </w:tcPr>
          <w:p w14:paraId="5AC1F66E">
            <w:pPr>
              <w:pStyle w:val="16"/>
            </w:pPr>
            <w:r>
              <w:t>Max(200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K3</w:t>
            </w:r>
            <w:r>
              <w:rPr>
                <w:rFonts w:cs="Arial"/>
                <w:szCs w:val="18"/>
                <w:vertAlign w:val="superscript"/>
              </w:rPr>
              <w:t xml:space="preserve"> NOTE3</w:t>
            </w:r>
            <w:r>
              <w:t xml:space="preserve">, Ceil(15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K1</w:t>
            </w:r>
            <w:r>
              <w:rPr>
                <w:rFonts w:cs="Arial"/>
                <w:szCs w:val="18"/>
                <w:vertAlign w:val="superscript"/>
              </w:rPr>
              <w:t>NOTE2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>))</w:t>
            </w:r>
          </w:p>
        </w:tc>
      </w:tr>
      <w:tr w14:paraId="1A8A9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0" w:type="dxa"/>
            <w:shd w:val="clear" w:color="auto" w:fill="auto"/>
          </w:tcPr>
          <w:p w14:paraId="517E6CEF">
            <w:pPr>
              <w:pStyle w:val="16"/>
            </w:pPr>
            <w:r>
              <w:t>80 ms &lt; 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 xml:space="preserve">) </w:t>
            </w:r>
            <w:r>
              <w:rPr>
                <w:rFonts w:hint="eastAsia"/>
              </w:rPr>
              <w:t>≤</w:t>
            </w:r>
            <w:r>
              <w:t>160 ms</w:t>
            </w:r>
          </w:p>
        </w:tc>
        <w:tc>
          <w:tcPr>
            <w:tcW w:w="3260" w:type="dxa"/>
            <w:shd w:val="clear" w:color="auto" w:fill="auto"/>
          </w:tcPr>
          <w:p w14:paraId="7A25E337">
            <w:pPr>
              <w:pStyle w:val="16"/>
            </w:pPr>
            <w:r>
              <w:t xml:space="preserve">Ceil(15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</w:tr>
      <w:tr w14:paraId="37035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20" w:type="dxa"/>
            <w:gridSpan w:val="2"/>
            <w:shd w:val="clear" w:color="auto" w:fill="auto"/>
          </w:tcPr>
          <w:p w14:paraId="53112361">
            <w:pPr>
              <w:pStyle w:val="18"/>
            </w:pPr>
            <w:r>
              <w:t>N</w:t>
            </w:r>
            <w:r>
              <w:rPr>
                <w:rFonts w:eastAsia="Malgun Gothic"/>
                <w:lang w:eastAsia="ko-KR"/>
              </w:rPr>
              <w:t>OTE 1</w:t>
            </w:r>
            <w:r>
              <w:t>:</w:t>
            </w:r>
            <w:r>
              <w:rPr>
                <w:sz w:val="28"/>
              </w:rPr>
              <w:tab/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 xml:space="preserve"> is the periodicity of the SSB configured for RLM. T</w:t>
            </w:r>
            <w:r>
              <w:rPr>
                <w:vertAlign w:val="subscript"/>
              </w:rPr>
              <w:t>DRX</w:t>
            </w:r>
            <w:r>
              <w:t xml:space="preserve"> is the DRX cycle length and no longer than 80 ms.</w:t>
            </w:r>
          </w:p>
          <w:p w14:paraId="53872398">
            <w:pPr>
              <w:pStyle w:val="18"/>
            </w:pPr>
            <w:r>
              <w:t>N</w:t>
            </w:r>
            <w:r>
              <w:rPr>
                <w:rFonts w:eastAsia="Malgun Gothic"/>
                <w:lang w:eastAsia="ko-KR"/>
              </w:rPr>
              <w:t>OTE 2:</w:t>
            </w:r>
            <w:r>
              <w:rPr>
                <w:rFonts w:eastAsia="Malgun Gothic"/>
                <w:lang w:eastAsia="ko-KR"/>
              </w:rPr>
              <w:tab/>
            </w:r>
            <w:r>
              <w:t>K1 = 4 for 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 xml:space="preserve">) </w:t>
            </w:r>
            <w:r>
              <w:rPr>
                <w:rFonts w:hint="eastAsia"/>
              </w:rPr>
              <w:t>≤</w:t>
            </w:r>
            <w:r>
              <w:t>40 ms and K1 = 2 for 40 ms&lt;Max(T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 xml:space="preserve">) </w:t>
            </w:r>
            <w:r>
              <w:rPr>
                <w:rFonts w:hint="eastAsia"/>
              </w:rPr>
              <w:t>≤</w:t>
            </w:r>
            <w:r>
              <w:t>80 ms.</w:t>
            </w:r>
          </w:p>
          <w:p w14:paraId="026D5284">
            <w:pPr>
              <w:pStyle w:val="18"/>
            </w:pPr>
            <w:r>
              <w:t>N</w:t>
            </w:r>
            <w:r>
              <w:rPr>
                <w:rFonts w:eastAsia="Malgun Gothic"/>
                <w:lang w:eastAsia="ko-KR"/>
              </w:rPr>
              <w:t>OTE 3</w:t>
            </w:r>
            <w:r>
              <w:t>:</w:t>
            </w:r>
            <w:r>
              <w:tab/>
            </w:r>
            <w:r>
              <w:t xml:space="preserve">K3 = K1, if K1 </w:t>
            </w:r>
            <w:r>
              <w:rPr>
                <w:rFonts w:hint="eastAsia"/>
              </w:rPr>
              <w:t>≤</w:t>
            </w:r>
            <w:r>
              <w:t xml:space="preserve"> 2; otherwise K3 = 1.</w:t>
            </w:r>
          </w:p>
        </w:tc>
      </w:tr>
    </w:tbl>
    <w:p w14:paraId="158827BF">
      <w:pPr>
        <w:rPr>
          <w:rFonts w:eastAsia="?? ??"/>
        </w:rPr>
      </w:pPr>
    </w:p>
    <w:p w14:paraId="236993E5">
      <w:pPr>
        <w:pStyle w:val="14"/>
      </w:pPr>
      <w:r>
        <w:t>Table 8.1.2.4-2: Evaluation period T</w:t>
      </w:r>
      <w:r>
        <w:rPr>
          <w:vertAlign w:val="subscript"/>
        </w:rPr>
        <w:t>Evaluate_out_SSB_Relax</w:t>
      </w:r>
      <w:r>
        <w:t xml:space="preserve"> for FR2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60"/>
        <w:gridCol w:w="3260"/>
      </w:tblGrid>
      <w:tr w14:paraId="545C7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0" w:type="dxa"/>
            <w:shd w:val="clear" w:color="auto" w:fill="auto"/>
          </w:tcPr>
          <w:p w14:paraId="245B72F0">
            <w:pPr>
              <w:pStyle w:val="15"/>
            </w:pPr>
            <w: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6355243F">
            <w:pPr>
              <w:pStyle w:val="15"/>
            </w:pPr>
            <w:r>
              <w:t>T</w:t>
            </w:r>
            <w:r>
              <w:rPr>
                <w:vertAlign w:val="subscript"/>
              </w:rPr>
              <w:t>Evaluate_out_SSB_Relax</w:t>
            </w:r>
            <w:r>
              <w:t xml:space="preserve"> (ms) </w:t>
            </w:r>
          </w:p>
        </w:tc>
      </w:tr>
      <w:tr w14:paraId="31099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0" w:type="dxa"/>
            <w:shd w:val="clear" w:color="auto" w:fill="auto"/>
          </w:tcPr>
          <w:p w14:paraId="79EF519B">
            <w:pPr>
              <w:pStyle w:val="16"/>
            </w:pPr>
            <w:r>
              <w:t>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 xml:space="preserve">) </w:t>
            </w:r>
            <w:r>
              <w:rPr>
                <w:rFonts w:hint="eastAsia"/>
              </w:rPr>
              <w:t>≤</w:t>
            </w:r>
            <w:r>
              <w:t>80 ms</w:t>
            </w:r>
          </w:p>
        </w:tc>
        <w:tc>
          <w:tcPr>
            <w:tcW w:w="3260" w:type="dxa"/>
            <w:shd w:val="clear" w:color="auto" w:fill="auto"/>
          </w:tcPr>
          <w:p w14:paraId="6D1A9D18">
            <w:pPr>
              <w:pStyle w:val="16"/>
            </w:pPr>
            <w:r>
              <w:t>Max(200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K4</w:t>
            </w:r>
            <w:r>
              <w:rPr>
                <w:rFonts w:cs="Arial"/>
                <w:szCs w:val="18"/>
                <w:vertAlign w:val="superscript"/>
              </w:rPr>
              <w:t xml:space="preserve"> NOTE3</w:t>
            </w:r>
            <w:r>
              <w:t xml:space="preserve">, Ceil(15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K2</w:t>
            </w:r>
            <w:r>
              <w:rPr>
                <w:rFonts w:cs="Arial"/>
                <w:szCs w:val="18"/>
                <w:vertAlign w:val="superscript"/>
              </w:rPr>
              <w:t xml:space="preserve"> NOTE2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>))</w:t>
            </w:r>
          </w:p>
        </w:tc>
      </w:tr>
      <w:tr w14:paraId="3B4E3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0" w:type="dxa"/>
            <w:shd w:val="clear" w:color="auto" w:fill="auto"/>
          </w:tcPr>
          <w:p w14:paraId="56EF4B00">
            <w:pPr>
              <w:pStyle w:val="16"/>
            </w:pPr>
            <w:r>
              <w:t>80 ms &lt; 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 xml:space="preserve">) </w:t>
            </w:r>
            <w:r>
              <w:rPr>
                <w:rFonts w:hint="eastAsia"/>
              </w:rPr>
              <w:t>≤</w:t>
            </w:r>
            <w:r>
              <w:t>160 ms</w:t>
            </w:r>
          </w:p>
        </w:tc>
        <w:tc>
          <w:tcPr>
            <w:tcW w:w="3260" w:type="dxa"/>
            <w:shd w:val="clear" w:color="auto" w:fill="auto"/>
          </w:tcPr>
          <w:p w14:paraId="351D2CD9">
            <w:pPr>
              <w:pStyle w:val="16"/>
            </w:pPr>
            <w:r>
              <w:t xml:space="preserve">Ceil(15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</w:tr>
      <w:tr w14:paraId="6353A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20" w:type="dxa"/>
            <w:gridSpan w:val="2"/>
            <w:shd w:val="clear" w:color="auto" w:fill="auto"/>
          </w:tcPr>
          <w:p w14:paraId="43DD397D">
            <w:pPr>
              <w:pStyle w:val="18"/>
            </w:pPr>
            <w:r>
              <w:t>N</w:t>
            </w:r>
            <w:r>
              <w:rPr>
                <w:rFonts w:eastAsia="Malgun Gothic"/>
                <w:lang w:eastAsia="ko-KR"/>
              </w:rPr>
              <w:t>OTE 1</w:t>
            </w:r>
            <w:r>
              <w:t>:</w:t>
            </w:r>
            <w:r>
              <w:tab/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 xml:space="preserve"> is the periodicity of the SSB configured for RLM. T</w:t>
            </w:r>
            <w:r>
              <w:rPr>
                <w:vertAlign w:val="subscript"/>
              </w:rPr>
              <w:t>DRX</w:t>
            </w:r>
            <w:r>
              <w:t xml:space="preserve"> is the DRX cycle length and no longer than 80 ms.</w:t>
            </w:r>
          </w:p>
          <w:p w14:paraId="18F355F1">
            <w:pPr>
              <w:pStyle w:val="18"/>
            </w:pPr>
            <w:r>
              <w:t>N</w:t>
            </w:r>
            <w:r>
              <w:rPr>
                <w:rFonts w:eastAsia="Malgun Gothic"/>
                <w:lang w:eastAsia="ko-KR"/>
              </w:rPr>
              <w:t>OTE 2</w:t>
            </w:r>
            <w:r>
              <w:t>:</w:t>
            </w:r>
            <w:r>
              <w:tab/>
            </w:r>
            <w:r>
              <w:t>K2 = 2.</w:t>
            </w:r>
          </w:p>
          <w:p w14:paraId="4A34B6BF">
            <w:pPr>
              <w:pStyle w:val="18"/>
            </w:pPr>
            <w:r>
              <w:t>N</w:t>
            </w:r>
            <w:r>
              <w:rPr>
                <w:rFonts w:eastAsia="Malgun Gothic"/>
                <w:lang w:eastAsia="ko-KR"/>
              </w:rPr>
              <w:t>OTE 3</w:t>
            </w:r>
            <w:r>
              <w:t>:</w:t>
            </w:r>
            <w:r>
              <w:tab/>
            </w:r>
            <w:r>
              <w:t xml:space="preserve">K4 = K2, if K2 </w:t>
            </w:r>
            <w:r>
              <w:rPr>
                <w:rFonts w:hint="eastAsia"/>
              </w:rPr>
              <w:t>≤</w:t>
            </w:r>
            <w:r>
              <w:t xml:space="preserve"> 2; otherwise K4 = 1.</w:t>
            </w:r>
          </w:p>
        </w:tc>
      </w:tr>
    </w:tbl>
    <w:p w14:paraId="09EA200B"/>
    <w:p w14:paraId="6AB0EB7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For 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2Rx RedCap UE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, the existing requirements for SSB based RLM are shown as following. It can be seen the requirements are same as that for legacy UE. Same situation exists for CSI-RS based RLM. </w:t>
      </w:r>
    </w:p>
    <w:p w14:paraId="170EC4DB">
      <w:pPr>
        <w:pStyle w:val="14"/>
      </w:pPr>
      <w:r>
        <w:t>Table 8.1B.2.2-1: Evaluation period T</w:t>
      </w:r>
      <w:r>
        <w:rPr>
          <w:vertAlign w:val="subscript"/>
        </w:rPr>
        <w:t>Evaluate_out_SSB</w:t>
      </w:r>
      <w:r>
        <w:rPr>
          <w:rFonts w:cs="v5.0.0"/>
          <w:vertAlign w:val="subscript"/>
        </w:rPr>
        <w:t>,RedCap</w:t>
      </w:r>
      <w:r>
        <w:t xml:space="preserve"> and T</w:t>
      </w:r>
      <w:r>
        <w:rPr>
          <w:vertAlign w:val="subscript"/>
        </w:rPr>
        <w:t>Evaluate_in_SSB</w:t>
      </w:r>
      <w:r>
        <w:rPr>
          <w:rFonts w:cs="v5.0.0"/>
          <w:vertAlign w:val="subscript"/>
        </w:rPr>
        <w:t>,RedCap</w:t>
      </w:r>
      <w:r>
        <w:t xml:space="preserve"> for FR1 for 2Rx RedCap UE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 w14:paraId="6D9E1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 w14:paraId="2CA2D13D">
            <w:pPr>
              <w:pStyle w:val="15"/>
            </w:pPr>
            <w: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7D41D62A">
            <w:pPr>
              <w:pStyle w:val="15"/>
            </w:pPr>
            <w:r>
              <w:t>T</w:t>
            </w:r>
            <w:r>
              <w:rPr>
                <w:vertAlign w:val="subscript"/>
              </w:rPr>
              <w:t>Evaluate_out_SSB</w:t>
            </w:r>
            <w:r>
              <w:rPr>
                <w:rFonts w:cs="v5.0.0"/>
                <w:vertAlign w:val="subscript"/>
              </w:rPr>
              <w:t>,RedCap</w:t>
            </w:r>
            <w:r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14:paraId="61C2149F">
            <w:pPr>
              <w:pStyle w:val="15"/>
            </w:pPr>
            <w:r>
              <w:t>T</w:t>
            </w:r>
            <w:r>
              <w:rPr>
                <w:vertAlign w:val="subscript"/>
              </w:rPr>
              <w:t>Evaluate_in_SSB</w:t>
            </w:r>
            <w:r>
              <w:rPr>
                <w:rFonts w:cs="v5.0.0"/>
                <w:vertAlign w:val="subscript"/>
              </w:rPr>
              <w:t>,RedCap</w:t>
            </w:r>
            <w:r>
              <w:t xml:space="preserve"> (ms) </w:t>
            </w:r>
          </w:p>
        </w:tc>
      </w:tr>
      <w:tr w14:paraId="41372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 w14:paraId="642FBA3B">
            <w:pPr>
              <w:pStyle w:val="16"/>
            </w:pPr>
            <w:r>
              <w:t>no DRX</w:t>
            </w:r>
          </w:p>
        </w:tc>
        <w:tc>
          <w:tcPr>
            <w:tcW w:w="3260" w:type="dxa"/>
            <w:shd w:val="clear" w:color="auto" w:fill="auto"/>
          </w:tcPr>
          <w:p w14:paraId="16084945">
            <w:pPr>
              <w:pStyle w:val="16"/>
            </w:pPr>
            <w:r>
              <w:t xml:space="preserve">Max(200, Ceil(10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  <w:tc>
          <w:tcPr>
            <w:tcW w:w="3309" w:type="dxa"/>
            <w:shd w:val="clear" w:color="auto" w:fill="auto"/>
          </w:tcPr>
          <w:p w14:paraId="56EF9BC1">
            <w:pPr>
              <w:pStyle w:val="16"/>
            </w:pPr>
            <w:r>
              <w:t xml:space="preserve">Max(100,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</w:tr>
      <w:tr w14:paraId="3B276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 w14:paraId="7B704C2F">
            <w:pPr>
              <w:pStyle w:val="16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>320 ms</w:t>
            </w:r>
          </w:p>
        </w:tc>
        <w:tc>
          <w:tcPr>
            <w:tcW w:w="3260" w:type="dxa"/>
            <w:shd w:val="clear" w:color="auto" w:fill="auto"/>
          </w:tcPr>
          <w:p w14:paraId="1E27B25E">
            <w:pPr>
              <w:pStyle w:val="16"/>
            </w:pPr>
            <w:r>
              <w:t xml:space="preserve">Max(200, Ceil(15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>))</w:t>
            </w:r>
          </w:p>
        </w:tc>
        <w:tc>
          <w:tcPr>
            <w:tcW w:w="3309" w:type="dxa"/>
            <w:shd w:val="clear" w:color="auto" w:fill="auto"/>
          </w:tcPr>
          <w:p w14:paraId="73F28D66">
            <w:pPr>
              <w:pStyle w:val="16"/>
            </w:pPr>
            <w:r>
              <w:t xml:space="preserve">Max(100, 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>))</w:t>
            </w:r>
          </w:p>
        </w:tc>
      </w:tr>
      <w:tr w14:paraId="4882C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 w14:paraId="718CC009">
            <w:pPr>
              <w:pStyle w:val="16"/>
            </w:pPr>
            <w:r>
              <w:t>DRX cycle&gt;320 ms</w:t>
            </w:r>
          </w:p>
        </w:tc>
        <w:tc>
          <w:tcPr>
            <w:tcW w:w="3260" w:type="dxa"/>
            <w:shd w:val="clear" w:color="auto" w:fill="auto"/>
          </w:tcPr>
          <w:p w14:paraId="3FB00338">
            <w:pPr>
              <w:pStyle w:val="16"/>
            </w:pPr>
            <w:r>
              <w:t xml:space="preserve">Ceil(10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5E784F30">
            <w:pPr>
              <w:pStyle w:val="16"/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</w:tr>
      <w:tr w14:paraId="12F78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5C430A86">
            <w:pPr>
              <w:pStyle w:val="18"/>
            </w:pPr>
            <w:r>
              <w:t>N</w:t>
            </w:r>
            <w:r>
              <w:rPr>
                <w:rFonts w:eastAsia="Malgun Gothic"/>
                <w:lang w:eastAsia="ko-KR"/>
              </w:rPr>
              <w:t>OTE</w:t>
            </w:r>
            <w:r>
              <w:t>:</w:t>
            </w:r>
            <w:r>
              <w:rPr>
                <w:sz w:val="28"/>
              </w:rPr>
              <w:tab/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 xml:space="preserve"> is the periodicity of the SSB configured for RLM. T</w:t>
            </w:r>
            <w:r>
              <w:rPr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 w14:paraId="3DF4758D">
      <w:pPr>
        <w:rPr>
          <w:rFonts w:eastAsia="?? ??"/>
        </w:rPr>
      </w:pPr>
    </w:p>
    <w:p w14:paraId="664E6D00">
      <w:pPr>
        <w:pStyle w:val="14"/>
      </w:pPr>
      <w:r>
        <w:t>Table 8.1B.2.2-2: Evaluation period T</w:t>
      </w:r>
      <w:r>
        <w:rPr>
          <w:vertAlign w:val="subscript"/>
        </w:rPr>
        <w:t>Evaluate_out_SSB</w:t>
      </w:r>
      <w:r>
        <w:rPr>
          <w:rFonts w:cs="v5.0.0"/>
          <w:vertAlign w:val="subscript"/>
        </w:rPr>
        <w:t>,RedCap</w:t>
      </w:r>
      <w:r>
        <w:t xml:space="preserve"> and T</w:t>
      </w:r>
      <w:r>
        <w:rPr>
          <w:vertAlign w:val="subscript"/>
        </w:rPr>
        <w:t>Evaluate_in_SSB</w:t>
      </w:r>
      <w:r>
        <w:rPr>
          <w:rFonts w:cs="v5.0.0"/>
          <w:vertAlign w:val="subscript"/>
        </w:rPr>
        <w:t>,RedCap</w:t>
      </w:r>
      <w:r>
        <w:t xml:space="preserve"> for FR2 for 2Rx RedCap UE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 w14:paraId="1008E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 w14:paraId="69B87D7A">
            <w:pPr>
              <w:pStyle w:val="15"/>
            </w:pPr>
            <w: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65B2A169">
            <w:pPr>
              <w:pStyle w:val="15"/>
            </w:pPr>
            <w:r>
              <w:t>T</w:t>
            </w:r>
            <w:r>
              <w:rPr>
                <w:vertAlign w:val="subscript"/>
              </w:rPr>
              <w:t>Evaluate_out_SSB</w:t>
            </w:r>
            <w:r>
              <w:rPr>
                <w:rFonts w:cs="v5.0.0"/>
                <w:vertAlign w:val="subscript"/>
              </w:rPr>
              <w:t>,RedCap</w:t>
            </w:r>
            <w:r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14:paraId="10E72F29">
            <w:pPr>
              <w:pStyle w:val="15"/>
            </w:pPr>
            <w:r>
              <w:t>T</w:t>
            </w:r>
            <w:r>
              <w:rPr>
                <w:vertAlign w:val="subscript"/>
              </w:rPr>
              <w:t>Evaluate_in_SSB</w:t>
            </w:r>
            <w:r>
              <w:rPr>
                <w:rFonts w:cs="v5.0.0"/>
                <w:vertAlign w:val="subscript"/>
              </w:rPr>
              <w:t>,RedCap</w:t>
            </w:r>
            <w:r>
              <w:t xml:space="preserve"> (ms) </w:t>
            </w:r>
          </w:p>
        </w:tc>
      </w:tr>
      <w:tr w14:paraId="6EB3D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 w14:paraId="41B6079F">
            <w:pPr>
              <w:pStyle w:val="16"/>
            </w:pPr>
            <w:r>
              <w:t>no DRX</w:t>
            </w:r>
          </w:p>
        </w:tc>
        <w:tc>
          <w:tcPr>
            <w:tcW w:w="3260" w:type="dxa"/>
            <w:shd w:val="clear" w:color="auto" w:fill="auto"/>
          </w:tcPr>
          <w:p w14:paraId="7F4F46C2">
            <w:pPr>
              <w:pStyle w:val="16"/>
            </w:pPr>
            <w:r>
              <w:t xml:space="preserve">Max(200, Ceil(10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  <w:tc>
          <w:tcPr>
            <w:tcW w:w="3309" w:type="dxa"/>
            <w:shd w:val="clear" w:color="auto" w:fill="auto"/>
          </w:tcPr>
          <w:p w14:paraId="1F5A852D">
            <w:pPr>
              <w:pStyle w:val="16"/>
            </w:pPr>
            <w:r>
              <w:t xml:space="preserve">Max(100,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</w:tr>
      <w:tr w14:paraId="5A0E3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 w14:paraId="0539BCCE">
            <w:pPr>
              <w:pStyle w:val="16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>320 ms</w:t>
            </w:r>
          </w:p>
        </w:tc>
        <w:tc>
          <w:tcPr>
            <w:tcW w:w="3260" w:type="dxa"/>
            <w:shd w:val="clear" w:color="auto" w:fill="auto"/>
          </w:tcPr>
          <w:p w14:paraId="130CE535">
            <w:pPr>
              <w:pStyle w:val="16"/>
            </w:pPr>
            <w:r>
              <w:t xml:space="preserve">Max(200, Ceil(15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>))</w:t>
            </w:r>
          </w:p>
        </w:tc>
        <w:tc>
          <w:tcPr>
            <w:tcW w:w="3309" w:type="dxa"/>
            <w:shd w:val="clear" w:color="auto" w:fill="auto"/>
          </w:tcPr>
          <w:p w14:paraId="70C1E8D5">
            <w:pPr>
              <w:pStyle w:val="16"/>
            </w:pPr>
            <w:r>
              <w:t xml:space="preserve">Max(100, 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>))</w:t>
            </w:r>
          </w:p>
        </w:tc>
      </w:tr>
      <w:tr w14:paraId="7B071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 w14:paraId="6E78E5E4">
            <w:pPr>
              <w:pStyle w:val="16"/>
            </w:pPr>
            <w:r>
              <w:t>DRX cycle&gt;320 ms</w:t>
            </w:r>
          </w:p>
        </w:tc>
        <w:tc>
          <w:tcPr>
            <w:tcW w:w="3260" w:type="dxa"/>
            <w:shd w:val="clear" w:color="auto" w:fill="auto"/>
          </w:tcPr>
          <w:p w14:paraId="2F1843D4">
            <w:pPr>
              <w:pStyle w:val="16"/>
            </w:pPr>
            <w:r>
              <w:t xml:space="preserve">Ceil(10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50EEFA5A">
            <w:pPr>
              <w:pStyle w:val="16"/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</w:tr>
      <w:tr w14:paraId="484EE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5ADC1643">
            <w:pPr>
              <w:pStyle w:val="18"/>
            </w:pPr>
            <w:r>
              <w:t>N</w:t>
            </w:r>
            <w:r>
              <w:rPr>
                <w:rFonts w:eastAsia="Malgun Gothic"/>
                <w:lang w:eastAsia="ko-KR"/>
              </w:rPr>
              <w:t>OTE</w:t>
            </w:r>
            <w:r>
              <w:t>:</w:t>
            </w:r>
            <w:r>
              <w:rPr>
                <w:sz w:val="28"/>
              </w:rPr>
              <w:tab/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 xml:space="preserve"> is the periodicity of the SSB configured for RLM. T</w:t>
            </w:r>
            <w:r>
              <w:rPr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 w14:paraId="16EB7D81"/>
    <w:p w14:paraId="6DAE70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To support relaxed RLM/BFD for 2RX 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RedCap UE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, it is straightforward to reuse legacy relaxed approach including relaxation criteria and scaling factor for legacy UEs. </w:t>
      </w:r>
    </w:p>
    <w:p w14:paraId="0529854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  <w:t>Proposal 1: it is proposed to reuse relaxation criteria and scaling factor for relaxed requirements for legacy UEs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  <w:t xml:space="preserve">to define relaxed RLM/BFD requirements for 2RX 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  <w:t>RedCap UE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.</w:t>
      </w:r>
    </w:p>
    <w:p w14:paraId="7A4229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For 1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Rx RedCap UE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, the existing requirements for SSB based RLM are shown as following. Compared with the requirements for 2RX 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RedCap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, the out-of-sync evaluation period is doubled for 1RX 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RedCap UE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. To support relaxed RLM/BFD requirements for 1RX 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RedCap UE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, whether relaxation criteria and scaling factor for legacy UEs with 2RX can be reused need further discussion.  </w:t>
      </w:r>
    </w:p>
    <w:p w14:paraId="633A7D07">
      <w:pPr>
        <w:pStyle w:val="14"/>
      </w:pPr>
      <w:r>
        <w:t>Table 8.1B.2.2-3: Evaluation period T</w:t>
      </w:r>
      <w:r>
        <w:rPr>
          <w:vertAlign w:val="subscript"/>
        </w:rPr>
        <w:t>Evaluate_out_SSB</w:t>
      </w:r>
      <w:r>
        <w:rPr>
          <w:rFonts w:cs="v5.0.0"/>
          <w:vertAlign w:val="subscript"/>
        </w:rPr>
        <w:t>,RedCap</w:t>
      </w:r>
      <w:r>
        <w:t xml:space="preserve"> and T</w:t>
      </w:r>
      <w:r>
        <w:rPr>
          <w:vertAlign w:val="subscript"/>
        </w:rPr>
        <w:t>Evaluate_in_SSB</w:t>
      </w:r>
      <w:r>
        <w:rPr>
          <w:rFonts w:cs="v5.0.0"/>
          <w:vertAlign w:val="subscript"/>
        </w:rPr>
        <w:t>,RedCap</w:t>
      </w:r>
      <w:r>
        <w:t xml:space="preserve"> for FR1 for 1Rx RedCap UE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 w14:paraId="2F081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 w14:paraId="55DB541A">
            <w:pPr>
              <w:pStyle w:val="15"/>
            </w:pPr>
            <w: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5A364C20">
            <w:pPr>
              <w:pStyle w:val="15"/>
            </w:pPr>
            <w:r>
              <w:t>T</w:t>
            </w:r>
            <w:r>
              <w:rPr>
                <w:vertAlign w:val="subscript"/>
              </w:rPr>
              <w:t>Evaluate_out_SSB</w:t>
            </w:r>
            <w:r>
              <w:rPr>
                <w:rFonts w:cs="v5.0.0"/>
                <w:vertAlign w:val="subscript"/>
              </w:rPr>
              <w:t>,RedCap</w:t>
            </w:r>
            <w:r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14:paraId="701349EE">
            <w:pPr>
              <w:pStyle w:val="15"/>
            </w:pPr>
            <w:r>
              <w:t>T</w:t>
            </w:r>
            <w:r>
              <w:rPr>
                <w:vertAlign w:val="subscript"/>
              </w:rPr>
              <w:t>Evaluate_in_SSB</w:t>
            </w:r>
            <w:r>
              <w:rPr>
                <w:rFonts w:cs="v5.0.0"/>
                <w:vertAlign w:val="subscript"/>
              </w:rPr>
              <w:t>,RedCap</w:t>
            </w:r>
            <w:r>
              <w:t xml:space="preserve"> (ms) </w:t>
            </w:r>
          </w:p>
        </w:tc>
      </w:tr>
      <w:tr w14:paraId="7194C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 w14:paraId="64258C07">
            <w:pPr>
              <w:pStyle w:val="16"/>
            </w:pPr>
            <w:r>
              <w:t>no DRX</w:t>
            </w:r>
          </w:p>
        </w:tc>
        <w:tc>
          <w:tcPr>
            <w:tcW w:w="3260" w:type="dxa"/>
            <w:shd w:val="clear" w:color="auto" w:fill="auto"/>
          </w:tcPr>
          <w:p w14:paraId="0F79C1B6">
            <w:pPr>
              <w:pStyle w:val="16"/>
            </w:pPr>
            <w:r>
              <w:t xml:space="preserve">Max(400, Ceil(20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  <w:tc>
          <w:tcPr>
            <w:tcW w:w="3309" w:type="dxa"/>
            <w:shd w:val="clear" w:color="auto" w:fill="auto"/>
          </w:tcPr>
          <w:p w14:paraId="4D091C70">
            <w:pPr>
              <w:pStyle w:val="16"/>
            </w:pPr>
            <w:r>
              <w:t xml:space="preserve">Max(100,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</w:tr>
      <w:tr w14:paraId="4C1F2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 w14:paraId="7481C5B0">
            <w:pPr>
              <w:pStyle w:val="16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>320 ms</w:t>
            </w:r>
          </w:p>
        </w:tc>
        <w:tc>
          <w:tcPr>
            <w:tcW w:w="3260" w:type="dxa"/>
            <w:shd w:val="clear" w:color="auto" w:fill="auto"/>
          </w:tcPr>
          <w:p w14:paraId="3189DC76">
            <w:pPr>
              <w:pStyle w:val="16"/>
            </w:pPr>
            <w:r>
              <w:t xml:space="preserve">Max(400, Ceil(30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>))</w:t>
            </w:r>
          </w:p>
        </w:tc>
        <w:tc>
          <w:tcPr>
            <w:tcW w:w="3309" w:type="dxa"/>
            <w:shd w:val="clear" w:color="auto" w:fill="auto"/>
          </w:tcPr>
          <w:p w14:paraId="10DB6786">
            <w:pPr>
              <w:pStyle w:val="16"/>
            </w:pPr>
            <w:r>
              <w:t xml:space="preserve">Max(100, 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>))</w:t>
            </w:r>
          </w:p>
        </w:tc>
      </w:tr>
      <w:tr w14:paraId="23F3E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 w14:paraId="62EF033B">
            <w:pPr>
              <w:pStyle w:val="16"/>
            </w:pPr>
            <w:r>
              <w:t>DRX cycle&gt;320 ms</w:t>
            </w:r>
          </w:p>
        </w:tc>
        <w:tc>
          <w:tcPr>
            <w:tcW w:w="3260" w:type="dxa"/>
            <w:shd w:val="clear" w:color="auto" w:fill="auto"/>
          </w:tcPr>
          <w:p w14:paraId="065BC774">
            <w:pPr>
              <w:pStyle w:val="16"/>
            </w:pPr>
            <w:r>
              <w:t xml:space="preserve">Ceil(20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09FF5887">
            <w:pPr>
              <w:pStyle w:val="16"/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</w:tr>
      <w:tr w14:paraId="31ADB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5FD962BC">
            <w:pPr>
              <w:pStyle w:val="18"/>
            </w:pPr>
            <w:r>
              <w:t>N</w:t>
            </w:r>
            <w:r>
              <w:rPr>
                <w:rFonts w:eastAsia="Malgun Gothic"/>
                <w:lang w:eastAsia="ko-KR"/>
              </w:rPr>
              <w:t>OTE</w:t>
            </w:r>
            <w:r>
              <w:t>:</w:t>
            </w:r>
            <w:r>
              <w:rPr>
                <w:sz w:val="28"/>
              </w:rPr>
              <w:tab/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 xml:space="preserve"> is the periodicity of the SSB configured for RLM. T</w:t>
            </w:r>
            <w:r>
              <w:rPr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 w14:paraId="7096E5D6">
      <w:pPr>
        <w:rPr>
          <w:rFonts w:eastAsia="?? ??"/>
        </w:rPr>
      </w:pPr>
    </w:p>
    <w:p w14:paraId="581E79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 xml:space="preserve">Proposal 2: </w:t>
      </w:r>
      <w:r>
        <w:rPr>
          <w:rFonts w:hint="eastAsia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  <w:t xml:space="preserve">for 1RX 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  <w:t>RedCap UE</w:t>
      </w:r>
      <w:r>
        <w:rPr>
          <w:rFonts w:hint="eastAsia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  <w:t>, it is proposed to discuss whether relaxation criteria and scaling factor for relaxed requirements for legacy UEs with 2RX can be reused.</w:t>
      </w:r>
    </w:p>
    <w:p w14:paraId="7505CA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</w:p>
    <w:bookmarkEnd w:id="6"/>
    <w:bookmarkEnd w:id="7"/>
    <w:p w14:paraId="230699AF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Conclusion</w:t>
      </w:r>
    </w:p>
    <w:p w14:paraId="52A4826A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  <w:highlight w:val="none"/>
        </w:rPr>
      </w:pPr>
      <w:r>
        <w:rPr>
          <w:rFonts w:hint="eastAsia" w:ascii="Times New Roman" w:hAnsi="Times New Roman"/>
          <w:sz w:val="20"/>
          <w:szCs w:val="20"/>
          <w:highlight w:val="none"/>
          <w:lang w:val="en-GB"/>
        </w:rPr>
        <w:t>T</w:t>
      </w:r>
      <w:r>
        <w:rPr>
          <w:rFonts w:ascii="Times New Roman" w:hAnsi="Times New Roman"/>
          <w:sz w:val="20"/>
          <w:szCs w:val="20"/>
          <w:highlight w:val="none"/>
        </w:rPr>
        <w:t>his contribution</w:t>
      </w:r>
      <w:r>
        <w:rPr>
          <w:rFonts w:hint="eastAsia" w:ascii="Times New Roman" w:hAnsi="Times New Roman"/>
          <w:sz w:val="20"/>
          <w:szCs w:val="20"/>
          <w:highlight w:val="none"/>
        </w:rPr>
        <w:t xml:space="preserve"> provides discussion on</w:t>
      </w:r>
      <w:r>
        <w:rPr>
          <w:rFonts w:ascii="Times New Roman" w:hAnsi="Times New Roman"/>
          <w:sz w:val="20"/>
          <w:szCs w:val="20"/>
          <w:highlight w:val="none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relaxed 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>RLM/BFD RRM requirements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for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(</w:t>
      </w:r>
      <w:r>
        <w:rPr>
          <w:rFonts w:hint="default" w:ascii="Times New Roman" w:hAnsi="Times New Roman" w:cs="Times New Roman"/>
          <w:sz w:val="20"/>
          <w:szCs w:val="20"/>
        </w:rPr>
        <w:t>e)RedCap UEs</w:t>
      </w:r>
      <w:r>
        <w:rPr>
          <w:rFonts w:hint="eastAsia" w:ascii="Times New Roman" w:hAnsi="Times New Roman"/>
          <w:sz w:val="20"/>
          <w:szCs w:val="20"/>
          <w:highlight w:val="none"/>
        </w:rPr>
        <w:t>. The proposals are:</w:t>
      </w:r>
    </w:p>
    <w:p w14:paraId="6BA6E8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  <w:t>Proposal 1: it is proposed to reuse relaxation criteria and scaling factor for relaxed requirements for legacy UEs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  <w:t xml:space="preserve">to define relaxed RLM/BFD requirements for 2RX 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  <w:t>RedCap UE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.</w:t>
      </w:r>
    </w:p>
    <w:p w14:paraId="07FD04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/>
          <w:sz w:val="20"/>
          <w:szCs w:val="20"/>
          <w:highlight w:val="none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 xml:space="preserve">Proposal 2: </w:t>
      </w:r>
      <w:r>
        <w:rPr>
          <w:rFonts w:hint="eastAsia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  <w:t xml:space="preserve">for 1RX </w:t>
      </w: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  <w:t>RedCap UE</w:t>
      </w:r>
      <w:r>
        <w:rPr>
          <w:rFonts w:hint="eastAsia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  <w:t>, it is proposed to discuss whether relaxation criteria and scaling factor for relaxed requirements for legacy UEs with 2RX can be reused.</w:t>
      </w:r>
    </w:p>
    <w:p w14:paraId="7AA0D5E1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617A2367">
      <w:pPr>
        <w:pStyle w:val="13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5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52955</w:t>
      </w:r>
      <w:r>
        <w:rPr>
          <w:rFonts w:ascii="Times" w:hAnsi="Times" w:eastAsia="宋体"/>
          <w:b w:val="0"/>
          <w:sz w:val="20"/>
          <w:lang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WID: NR Radio Resource Management (RRM) Phase 6</w:t>
      </w:r>
    </w:p>
    <w:p w14:paraId="536EF693"/>
    <w:sectPr>
      <w:pgSz w:w="11900" w:h="16840"/>
      <w:pgMar w:top="1440" w:right="985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9EF811"/>
    <w:multiLevelType w:val="singleLevel"/>
    <w:tmpl w:val="1E9EF811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19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strike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>
    <w:nsid w:val="7F1A6A2D"/>
    <w:multiLevelType w:val="multilevel"/>
    <w:tmpl w:val="7F1A6A2D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0" w:hanging="420"/>
      </w:pPr>
      <w:rPr>
        <w:rFonts w:hint="default" w:ascii="Symbol" w:hAnsi="Symbol"/>
      </w:rPr>
    </w:lvl>
    <w:lvl w:ilvl="1" w:tentative="0">
      <w:start w:val="2"/>
      <w:numFmt w:val="bullet"/>
      <w:lvlText w:val="-"/>
      <w:lvlJc w:val="left"/>
      <w:pPr>
        <w:tabs>
          <w:tab w:val="left" w:pos="-420"/>
        </w:tabs>
        <w:ind w:left="420" w:hanging="420"/>
      </w:pPr>
      <w:rPr>
        <w:rFonts w:hint="default" w:ascii="Segoe UI" w:hAnsi="Segoe UI" w:eastAsia="宋体" w:cs="Segoe UI"/>
      </w:rPr>
    </w:lvl>
    <w:lvl w:ilvl="2" w:tentative="0">
      <w:start w:val="1"/>
      <w:numFmt w:val="bullet"/>
      <w:lvlText w:val="o"/>
      <w:lvlJc w:val="left"/>
      <w:pPr>
        <w:tabs>
          <w:tab w:val="left" w:pos="-420"/>
        </w:tabs>
        <w:ind w:left="840" w:hanging="42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"/>
      <w:lvlJc w:val="left"/>
      <w:pPr>
        <w:tabs>
          <w:tab w:val="left" w:pos="-420"/>
        </w:tabs>
        <w:ind w:left="1260" w:hanging="420"/>
      </w:pPr>
      <w:rPr>
        <w:rFonts w:hint="default" w:ascii="Wingdings" w:hAnsi="Wingdings"/>
      </w:rPr>
    </w:lvl>
    <w:lvl w:ilvl="4" w:tentative="0">
      <w:start w:val="0"/>
      <w:numFmt w:val="bullet"/>
      <w:lvlText w:val="·"/>
      <w:lvlJc w:val="left"/>
      <w:pPr>
        <w:tabs>
          <w:tab w:val="left" w:pos="-420"/>
        </w:tabs>
        <w:ind w:left="1680" w:hanging="420"/>
      </w:pPr>
      <w:rPr>
        <w:rFonts w:hint="default" w:ascii="Times New Roman" w:hAnsi="Times New Roman" w:eastAsia="Arial Unicode MS" w:cs="Times New Roman"/>
      </w:rPr>
    </w:lvl>
    <w:lvl w:ilvl="5" w:tentative="0">
      <w:start w:val="1"/>
      <w:numFmt w:val="bullet"/>
      <w:lvlText w:val=""/>
      <w:lvlJc w:val="left"/>
      <w:pPr>
        <w:tabs>
          <w:tab w:val="left" w:pos="-420"/>
        </w:tabs>
        <w:ind w:left="21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-420"/>
        </w:tabs>
        <w:ind w:left="25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-420"/>
        </w:tabs>
        <w:ind w:left="29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-420"/>
        </w:tabs>
        <w:ind w:left="336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C0ED1"/>
    <w:rsid w:val="039B37C7"/>
    <w:rsid w:val="066675EE"/>
    <w:rsid w:val="09286893"/>
    <w:rsid w:val="095F3199"/>
    <w:rsid w:val="0A424F95"/>
    <w:rsid w:val="0C18633A"/>
    <w:rsid w:val="102962AF"/>
    <w:rsid w:val="150D10F7"/>
    <w:rsid w:val="154B4C98"/>
    <w:rsid w:val="157B6091"/>
    <w:rsid w:val="1A9346AF"/>
    <w:rsid w:val="1AFD104A"/>
    <w:rsid w:val="1CA473E9"/>
    <w:rsid w:val="1E262080"/>
    <w:rsid w:val="1E5B4D8D"/>
    <w:rsid w:val="1EA13FCF"/>
    <w:rsid w:val="1F9B323A"/>
    <w:rsid w:val="20136430"/>
    <w:rsid w:val="210324B5"/>
    <w:rsid w:val="21A66A88"/>
    <w:rsid w:val="21FA64CE"/>
    <w:rsid w:val="22F84732"/>
    <w:rsid w:val="238A445D"/>
    <w:rsid w:val="25E20F82"/>
    <w:rsid w:val="26960BDD"/>
    <w:rsid w:val="27C80F70"/>
    <w:rsid w:val="286B1A5C"/>
    <w:rsid w:val="295A479C"/>
    <w:rsid w:val="2BB92149"/>
    <w:rsid w:val="2E7C01C6"/>
    <w:rsid w:val="2F33619C"/>
    <w:rsid w:val="32FE5564"/>
    <w:rsid w:val="342A6B27"/>
    <w:rsid w:val="360D33BD"/>
    <w:rsid w:val="36292328"/>
    <w:rsid w:val="39237555"/>
    <w:rsid w:val="39A706A6"/>
    <w:rsid w:val="3A1D364A"/>
    <w:rsid w:val="3B511B0B"/>
    <w:rsid w:val="3C401AE2"/>
    <w:rsid w:val="3DBC17A1"/>
    <w:rsid w:val="3E5D6E34"/>
    <w:rsid w:val="44525938"/>
    <w:rsid w:val="48823F01"/>
    <w:rsid w:val="501A7B4F"/>
    <w:rsid w:val="52971E0E"/>
    <w:rsid w:val="534263BF"/>
    <w:rsid w:val="55A519A4"/>
    <w:rsid w:val="56185140"/>
    <w:rsid w:val="59231E6E"/>
    <w:rsid w:val="59B212B6"/>
    <w:rsid w:val="5C2B1D85"/>
    <w:rsid w:val="5D725D17"/>
    <w:rsid w:val="60455DBA"/>
    <w:rsid w:val="60F8227F"/>
    <w:rsid w:val="645A4B51"/>
    <w:rsid w:val="663E7534"/>
    <w:rsid w:val="66D222BD"/>
    <w:rsid w:val="6782683B"/>
    <w:rsid w:val="67A4673A"/>
    <w:rsid w:val="67CD705D"/>
    <w:rsid w:val="6A306848"/>
    <w:rsid w:val="6BA25424"/>
    <w:rsid w:val="6BBF44D0"/>
    <w:rsid w:val="6BCC0376"/>
    <w:rsid w:val="6C1808E6"/>
    <w:rsid w:val="6D673814"/>
    <w:rsid w:val="6F126DC6"/>
    <w:rsid w:val="6F2D4066"/>
    <w:rsid w:val="73C17630"/>
    <w:rsid w:val="73F658CE"/>
    <w:rsid w:val="74C23D1D"/>
    <w:rsid w:val="7B17752E"/>
    <w:rsid w:val="7EDD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iPriority="99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99"/>
  </w:style>
  <w:style w:type="paragraph" w:styleId="6">
    <w:name w:val="Body Text"/>
    <w:basedOn w:val="1"/>
    <w:unhideWhenUsed/>
    <w:qFormat/>
    <w:uiPriority w:val="99"/>
    <w:pPr>
      <w:spacing w:before="40" w:after="120" w:line="256" w:lineRule="auto"/>
      <w:jc w:val="left"/>
    </w:pPr>
    <w:rPr>
      <w:rFonts w:eastAsia="MS Mincho" w:cs="Times New Roman"/>
      <w:kern w:val="0"/>
      <w:sz w:val="20"/>
      <w:szCs w:val="20"/>
    </w:rPr>
  </w:style>
  <w:style w:type="paragraph" w:styleId="7">
    <w:name w:val="header"/>
    <w:basedOn w:val="1"/>
    <w:qFormat/>
    <w:uiPriority w:val="0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eastAsia="MS Mincho"/>
      <w:kern w:val="0"/>
      <w:sz w:val="20"/>
      <w:szCs w:val="20"/>
      <w:lang w:eastAsia="en-US"/>
    </w:rPr>
  </w:style>
  <w:style w:type="paragraph" w:styleId="8">
    <w:name w:val="List"/>
    <w:basedOn w:val="1"/>
    <w:semiHidden/>
    <w:unhideWhenUsed/>
    <w:qFormat/>
    <w:uiPriority w:val="99"/>
    <w:pPr>
      <w:overflowPunct w:val="0"/>
      <w:autoSpaceDE w:val="0"/>
      <w:autoSpaceDN w:val="0"/>
      <w:adjustRightInd w:val="0"/>
      <w:spacing w:after="180"/>
      <w:ind w:left="360" w:hanging="360"/>
      <w:contextualSpacing/>
      <w:jc w:val="left"/>
      <w:textAlignment w:val="baseline"/>
    </w:pPr>
    <w:rPr>
      <w:rFonts w:ascii="Times New Roman" w:hAnsi="Times New Roman" w:cs="Times New Roman" w:eastAsiaTheme="minorEastAsia"/>
      <w:kern w:val="0"/>
      <w:sz w:val="20"/>
      <w:szCs w:val="20"/>
      <w:lang w:val="en-GB" w:eastAsia="en-GB"/>
    </w:rPr>
  </w:style>
  <w:style w:type="table" w:styleId="10">
    <w:name w:val="Table Grid"/>
    <w:basedOn w:val="9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/>
      <w:kern w:val="0"/>
    </w:rPr>
  </w:style>
  <w:style w:type="paragraph" w:customStyle="1" w:styleId="1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5">
    <w:name w:val="TAH"/>
    <w:basedOn w:val="16"/>
    <w:qFormat/>
    <w:uiPriority w:val="0"/>
    <w:rPr>
      <w:b/>
    </w:rPr>
  </w:style>
  <w:style w:type="paragraph" w:customStyle="1" w:styleId="16">
    <w:name w:val="TAC"/>
    <w:basedOn w:val="17"/>
    <w:qFormat/>
    <w:uiPriority w:val="0"/>
    <w:pPr>
      <w:jc w:val="center"/>
    </w:pPr>
  </w:style>
  <w:style w:type="paragraph" w:customStyle="1" w:styleId="1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8">
    <w:name w:val="TAN"/>
    <w:basedOn w:val="17"/>
    <w:qFormat/>
    <w:uiPriority w:val="0"/>
    <w:pPr>
      <w:ind w:left="851" w:hanging="851"/>
    </w:pPr>
  </w:style>
  <w:style w:type="paragraph" w:customStyle="1" w:styleId="19">
    <w:name w:val="Agreement"/>
    <w:basedOn w:val="1"/>
    <w:next w:val="1"/>
    <w:qFormat/>
    <w:uiPriority w:val="99"/>
    <w:pPr>
      <w:numPr>
        <w:ilvl w:val="0"/>
        <w:numId w:val="2"/>
      </w:numPr>
      <w:spacing w:before="60"/>
      <w:jc w:val="left"/>
    </w:pPr>
    <w:rPr>
      <w:rFonts w:eastAsia="MS Mincho" w:cs="Times New Roman"/>
      <w:b/>
      <w:kern w:val="0"/>
      <w:sz w:val="20"/>
      <w:szCs w:val="24"/>
      <w:lang w:val="en-GB" w:eastAsia="en-GB"/>
    </w:rPr>
  </w:style>
  <w:style w:type="paragraph" w:customStyle="1" w:styleId="20">
    <w:name w:val="B1"/>
    <w:basedOn w:val="8"/>
    <w:qFormat/>
    <w:uiPriority w:val="0"/>
    <w:pPr>
      <w:ind w:left="568" w:hanging="284"/>
      <w:contextualSpacing w:val="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2024-11-04T01:51:00Z</dcterms:created>
  <dc:creator>cmcc</dc:creator>
  <cp:lastModifiedBy>CMCC-Jingjing</cp:lastModifiedBy>
  <dcterms:modified xsi:type="dcterms:W3CDTF">2025-10-02T02:19:15Z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99CA3F75D69E410D84A4BB8A3F58CF13</vt:lpwstr>
  </property>
</Properties>
</file>